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textAlignment w:val="auto"/>
        <w:rPr>
          <w:rFonts w:hint="eastAsia" w:eastAsia="仿宋_GB2312"/>
          <w:lang w:eastAsia="zh-CN"/>
        </w:rPr>
      </w:pPr>
      <w:r>
        <w:rPr>
          <w:rFonts w:hint="eastAsia" w:ascii="黑体" w:hAnsi="黑体" w:eastAsia="黑体" w:cs="黑体"/>
        </w:rPr>
        <w:t>附件</w:t>
      </w:r>
      <w:r>
        <w:rPr>
          <w:rFonts w:hint="eastAsia" w:ascii="黑体" w:hAnsi="黑体" w:eastAsia="黑体" w:cs="黑体"/>
          <w:lang w:eastAsia="zh-CN"/>
        </w:rPr>
        <w:t>：</w:t>
      </w:r>
    </w:p>
    <w:p>
      <w:pPr>
        <w:spacing w:line="700" w:lineRule="exact"/>
        <w:jc w:val="center"/>
        <w:rPr>
          <w:rFonts w:hint="eastAsia" w:ascii="方正小标宋简体" w:eastAsia="方正小标宋简体"/>
          <w:sz w:val="40"/>
          <w:szCs w:val="40"/>
        </w:rPr>
      </w:pPr>
      <w:r>
        <w:rPr>
          <w:rFonts w:hint="eastAsia" w:ascii="方正小标宋简体" w:eastAsia="方正小标宋简体"/>
          <w:sz w:val="40"/>
          <w:szCs w:val="40"/>
        </w:rPr>
        <w:t>三明市文化和旅游局行政执法委托书</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rPr>
      </w:pPr>
      <w:r>
        <w:rPr>
          <w:rFonts w:hint="eastAsia"/>
        </w:rPr>
        <w:t>为了进一步加强对全市文化和旅游市场监督管理，规范行政执法工作，依法确立行政执法委托机关与受委托机关的权利义务，依据《中华人民共和国行政处罚法》《文化市场综合行政执法管理办法》《旅游行政处罚办法》《福建省行政执法条例》等相关法律法规规章，结合全市文化市场综合行政执法工作实际，经研究决定，委托三明市文化市场综合执法支队按下列要求行使三明市文化市场综合行政执法权。</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ascii="黑体" w:hAnsi="黑体" w:eastAsia="黑体" w:cs="黑体"/>
        </w:rPr>
      </w:pPr>
      <w:r>
        <w:rPr>
          <w:rFonts w:hint="eastAsia" w:ascii="黑体" w:hAnsi="黑体" w:eastAsia="黑体" w:cs="黑体"/>
        </w:rPr>
        <w:t>一、委托执法依据</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rPr>
      </w:pPr>
      <w:r>
        <w:rPr>
          <w:rFonts w:hint="eastAsia"/>
        </w:rPr>
        <w:t>依据《中华人民共和国行政处罚法》《文化市场综合行政执法管理办法》《旅游行政处罚办法》《中共三明市委机构编制委员会关于组建三明市文化和旅游市场综合执法支队的通知》（明委编〔2019〕3号）、《中共三明市委机构编制委员会办公室关于市（县）文化和旅游市场综合执法支（大）队更名的通知》（明委编〔2020〕226号）等相关法律法规规章文件。</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ascii="黑体" w:hAnsi="黑体" w:eastAsia="黑体" w:cs="黑体"/>
        </w:rPr>
      </w:pPr>
      <w:r>
        <w:rPr>
          <w:rFonts w:hint="eastAsia" w:ascii="黑体" w:hAnsi="黑体" w:eastAsia="黑体" w:cs="黑体"/>
        </w:rPr>
        <w:t>二、委托执法权限</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rPr>
      </w:pPr>
      <w:r>
        <w:rPr>
          <w:rFonts w:hint="eastAsia"/>
        </w:rPr>
        <w:t>受委托单位在委托权限范围内以三明市文化和旅游局的名义对三明市行政区域内文化和旅游市场行为行使行政检查权、行政处罚权。 </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ascii="黑体" w:hAnsi="黑体" w:eastAsia="黑体" w:cs="黑体"/>
        </w:rPr>
      </w:pPr>
      <w:r>
        <w:rPr>
          <w:rFonts w:hint="eastAsia" w:ascii="黑体" w:hAnsi="黑体" w:eastAsia="黑体" w:cs="黑体"/>
        </w:rPr>
        <w:t>三、委托执法范围</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rPr>
      </w:pPr>
      <w:r>
        <w:rPr>
          <w:rFonts w:hint="eastAsia"/>
        </w:rPr>
        <w:t>负责三明市行政区域内文化和旅游市场综合行政执法工作，依法查处文化、文物、新闻出版（版权）、广播电视、电影、旅游市场等违法违规行为。</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ascii="黑体" w:hAnsi="黑体" w:eastAsia="黑体" w:cs="黑体"/>
        </w:rPr>
      </w:pPr>
      <w:r>
        <w:rPr>
          <w:rFonts w:hint="eastAsia" w:ascii="黑体" w:hAnsi="黑体" w:eastAsia="黑体" w:cs="黑体"/>
        </w:rPr>
        <w:t>四、委托执法责任</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（一）委托单位责任</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rPr>
      </w:pPr>
      <w:r>
        <w:rPr>
          <w:rFonts w:hint="eastAsia"/>
        </w:rPr>
        <w:t>1.指导、协调和监督受委托单位在委托权限范围内以委托单位名义实施行政执法行为； </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rPr>
      </w:pPr>
      <w:r>
        <w:rPr>
          <w:rFonts w:hint="eastAsia"/>
        </w:rPr>
        <w:t>2.委托单位应组织受委托单位执法人员参加国家、省、市政府法制部门组织的执法资格培训、考试及相关业务学习，并为其申办行政执法证件； </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rPr>
      </w:pPr>
      <w:r>
        <w:rPr>
          <w:rFonts w:hint="eastAsia"/>
        </w:rPr>
        <w:t>3.委托单位为受委托单位提供相关资料及规范的行政执法文书；</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rPr>
      </w:pPr>
      <w:r>
        <w:rPr>
          <w:rFonts w:hint="eastAsia"/>
        </w:rPr>
        <w:t>4.对受委托单位违法或者不适当的行政执法行为予以纠正或者撤销；</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rPr>
      </w:pPr>
      <w:r>
        <w:rPr>
          <w:rFonts w:hint="eastAsia"/>
        </w:rPr>
        <w:t>5.其他相关委托责任。</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（二）受委托单位责任</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rPr>
      </w:pPr>
      <w:r>
        <w:rPr>
          <w:rFonts w:hint="eastAsia"/>
        </w:rPr>
        <w:t>1.受委托单位只能在委托权限和范围内以委托单位的名义实施行政执法行为，承担超委托权限范围的行政执法行为所造成的法律后果； </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rPr>
      </w:pPr>
      <w:r>
        <w:rPr>
          <w:rFonts w:hint="eastAsia"/>
        </w:rPr>
        <w:t>2.受委托单位在履行行政执法行为时，必须由本单位在编在岗并取得有效的行政执法证件的人员实施行政执法，并按法定程序实施行政执法行为； </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rPr>
      </w:pPr>
      <w:r>
        <w:rPr>
          <w:rFonts w:hint="eastAsia"/>
        </w:rPr>
        <w:t>3.受委托单位不得再委托其他任何组织或者个人实施委托单位委托的行政执法行为； </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rPr>
      </w:pPr>
      <w:r>
        <w:rPr>
          <w:rFonts w:hint="eastAsia"/>
        </w:rPr>
        <w:t>4.主动接受委托单位的指导和监督，参与和配合委托单位的行政执法工作；</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rPr>
      </w:pPr>
      <w:r>
        <w:rPr>
          <w:rFonts w:hint="eastAsia"/>
        </w:rPr>
        <w:t>5.及时向委托单位书面报告在委托行政执法过程中存在的问题； </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rPr>
      </w:pPr>
      <w:r>
        <w:rPr>
          <w:rFonts w:hint="eastAsia"/>
        </w:rPr>
        <w:t>6.其他相关受委托责任。</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ascii="黑体" w:hAnsi="黑体" w:eastAsia="黑体" w:cs="黑体"/>
        </w:rPr>
      </w:pPr>
      <w:r>
        <w:rPr>
          <w:rFonts w:hint="eastAsia" w:ascii="黑体" w:hAnsi="黑体" w:eastAsia="黑体" w:cs="黑体"/>
        </w:rPr>
        <w:t>五、委托执法期限</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rPr>
      </w:pPr>
      <w:r>
        <w:rPr>
          <w:rFonts w:hint="eastAsia"/>
        </w:rPr>
        <w:t>从2022年1月31日至2025年1月31日止，本委托书经双方法定代表人签字、加盖单位公章之日起生效。届满后，按程序重新签订委托书。</w:t>
      </w:r>
    </w:p>
    <w:p>
      <w:pPr>
        <w:keepNext w:val="0"/>
        <w:keepLines w:val="0"/>
        <w:pageBreakBefore w:val="0"/>
        <w:widowControl w:val="0"/>
        <w:kinsoku/>
        <w:wordWrap/>
        <w:overflowPunct/>
        <w:topLinePunct w:val="0"/>
        <w:autoSpaceDE/>
        <w:autoSpaceDN/>
        <w:bidi w:val="0"/>
        <w:adjustRightInd w:val="0"/>
        <w:snapToGrid/>
        <w:ind w:firstLine="612" w:firstLineChars="200"/>
        <w:textAlignment w:val="auto"/>
        <w:rPr>
          <w:rFonts w:hint="eastAsia"/>
        </w:rPr>
      </w:pPr>
      <w:r>
        <w:rPr>
          <w:rFonts w:hint="eastAsia"/>
        </w:rPr>
        <w:t>本委托书一式十份，委托单位和受委托单位各执一份，并报送福建省文化和旅游厅等上级对应主管部门和三明市司法局（法制部门）备案。</w:t>
      </w:r>
    </w:p>
    <w:p>
      <w:pPr>
        <w:keepNext w:val="0"/>
        <w:keepLines w:val="0"/>
        <w:pageBreakBefore w:val="0"/>
        <w:widowControl w:val="0"/>
        <w:kinsoku/>
        <w:wordWrap/>
        <w:overflowPunct/>
        <w:topLinePunct w:val="0"/>
        <w:autoSpaceDE/>
        <w:autoSpaceDN/>
        <w:bidi w:val="0"/>
        <w:adjustRightInd w:val="0"/>
        <w:snapToGrid/>
        <w:textAlignment w:val="auto"/>
        <w:rPr>
          <w:rFonts w:hint="eastAsia"/>
        </w:rPr>
      </w:pPr>
    </w:p>
    <w:p>
      <w:pPr>
        <w:ind w:firstLine="918" w:firstLineChars="300"/>
        <w:rPr>
          <w:rFonts w:hint="eastAsia"/>
        </w:rPr>
      </w:pPr>
      <w:r>
        <w:rPr>
          <w:rFonts w:hint="eastAsia"/>
        </w:rPr>
        <w:t xml:space="preserve">委托单位（盖章）        </w:t>
      </w:r>
      <w:r>
        <w:rPr>
          <w:rFonts w:hint="eastAsia"/>
          <w:lang w:val="en-US" w:eastAsia="zh-CN"/>
        </w:rPr>
        <w:t xml:space="preserve">  </w:t>
      </w:r>
      <w:r>
        <w:rPr>
          <w:rFonts w:hint="eastAsia"/>
        </w:rPr>
        <w:t xml:space="preserve">受委托单位（盖章）    </w:t>
      </w:r>
    </w:p>
    <w:p>
      <w:pPr>
        <w:rPr>
          <w:rFonts w:hint="eastAsia"/>
        </w:rPr>
      </w:pPr>
    </w:p>
    <w:p>
      <w:pPr>
        <w:rPr>
          <w:rFonts w:hint="eastAsia"/>
        </w:rPr>
      </w:pPr>
    </w:p>
    <w:p>
      <w:pPr>
        <w:ind w:firstLine="918" w:firstLineChars="300"/>
        <w:rPr>
          <w:rFonts w:hint="eastAsia"/>
        </w:rPr>
      </w:pPr>
      <w:r>
        <w:rPr>
          <w:rFonts w:hint="eastAsia"/>
        </w:rPr>
        <w:t>法定代表人（签名）：       法定代表人（签名）：</w:t>
      </w:r>
    </w:p>
    <w:p>
      <w:pPr>
        <w:rPr>
          <w:rFonts w:hint="eastAsia"/>
        </w:rPr>
      </w:pPr>
      <w:r>
        <w:rPr>
          <w:rFonts w:hint="eastAsia"/>
        </w:rPr>
        <w:t xml:space="preserve">地址：三元区杜鹃新村12幢  </w:t>
      </w:r>
      <w:r>
        <w:rPr>
          <w:rFonts w:hint="eastAsia"/>
          <w:lang w:val="en-US" w:eastAsia="zh-CN"/>
        </w:rPr>
        <w:t xml:space="preserve">   </w:t>
      </w:r>
      <w:r>
        <w:rPr>
          <w:rFonts w:hint="eastAsia"/>
        </w:rPr>
        <w:t>地址：三元区高岩新村1幢</w:t>
      </w:r>
    </w:p>
    <w:p>
      <w:pPr>
        <w:rPr>
          <w:rFonts w:hint="eastAsia"/>
        </w:rPr>
      </w:pPr>
      <w:r>
        <w:rPr>
          <w:rFonts w:hint="eastAsia"/>
        </w:rPr>
        <w:t xml:space="preserve">      2-3层</w:t>
      </w:r>
      <w:r>
        <w:rPr>
          <w:rFonts w:hint="eastAsia"/>
          <w:lang w:val="en-US" w:eastAsia="zh-CN"/>
        </w:rPr>
        <w:t xml:space="preserve">                         </w:t>
      </w:r>
      <w:r>
        <w:rPr>
          <w:rFonts w:hint="eastAsia"/>
        </w:rPr>
        <w:t>附2楼</w:t>
      </w:r>
    </w:p>
    <w:p>
      <w:pPr>
        <w:ind w:firstLine="612" w:firstLineChars="200"/>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 xml:space="preserve">日         </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rPr>
          <w:rFonts w:ascii="黑体" w:hAnsi="黑体" w:eastAsia="黑体" w:cs="黑体"/>
        </w:rPr>
      </w:pPr>
    </w:p>
    <w:p/>
    <w:p>
      <w:pPr>
        <w:spacing w:line="590" w:lineRule="exact"/>
        <w:jc w:val="center"/>
        <w:rPr>
          <w:rFonts w:ascii="方正小标宋简体" w:hAnsi="方正小标宋简体" w:eastAsia="方正小标宋简体" w:cs="方正小标宋简体"/>
          <w:sz w:val="40"/>
          <w:szCs w:val="40"/>
        </w:rPr>
      </w:pPr>
    </w:p>
    <w:p/>
    <w:p>
      <w:pPr>
        <w:rPr>
          <w:rFonts w:ascii="黑体" w:hAnsi="黑体" w:eastAsia="黑体" w:cs="黑体"/>
        </w:rPr>
      </w:pPr>
    </w:p>
    <w:p/>
    <w:p>
      <w:pPr>
        <w:spacing w:line="590" w:lineRule="exact"/>
        <w:jc w:val="center"/>
        <w:rPr>
          <w:rFonts w:ascii="方正小标宋简体" w:hAnsi="方正小标宋简体" w:eastAsia="方正小标宋简体" w:cs="方正小标宋简体"/>
          <w:sz w:val="40"/>
          <w:szCs w:val="40"/>
        </w:rPr>
      </w:pPr>
    </w:p>
    <w:p/>
    <w:p>
      <w:pPr>
        <w:ind w:firstLine="612" w:firstLineChars="200"/>
      </w:pPr>
    </w:p>
    <w:p/>
    <w:tbl>
      <w:tblPr>
        <w:tblStyle w:val="8"/>
        <w:tblpPr w:horzAnchor="margin" w:tblpXSpec="center" w:tblpYSpec="bottom"/>
        <w:tblOverlap w:val="never"/>
        <w:tblW w:w="8845" w:type="dxa"/>
        <w:tblInd w:w="0" w:type="dxa"/>
        <w:tblBorders>
          <w:top w:val="single" w:color="auto" w:sz="8" w:space="0"/>
          <w:left w:val="none" w:color="auto" w:sz="0" w:space="0"/>
          <w:bottom w:val="single" w:color="auto" w:sz="8" w:space="0"/>
          <w:right w:val="none" w:color="auto" w:sz="0" w:space="0"/>
          <w:insideH w:val="single" w:color="auto" w:sz="6" w:space="0"/>
          <w:insideV w:val="single" w:color="auto" w:sz="4" w:space="0"/>
        </w:tblBorders>
        <w:tblLayout w:type="fixed"/>
        <w:tblCellMar>
          <w:top w:w="0" w:type="dxa"/>
          <w:left w:w="0" w:type="dxa"/>
          <w:bottom w:w="0" w:type="dxa"/>
          <w:right w:w="0"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6" w:space="0"/>
            <w:insideV w:val="single" w:color="auto" w:sz="4" w:space="0"/>
          </w:tblBorders>
          <w:tblLayout w:type="fixed"/>
          <w:tblCellMar>
            <w:top w:w="0" w:type="dxa"/>
            <w:left w:w="0" w:type="dxa"/>
            <w:bottom w:w="0" w:type="dxa"/>
            <w:right w:w="0" w:type="dxa"/>
          </w:tblCellMar>
        </w:tblPrEx>
        <w:tc>
          <w:tcPr>
            <w:tcW w:w="8845" w:type="dxa"/>
            <w:noWrap w:val="0"/>
            <w:vAlign w:val="top"/>
          </w:tcPr>
          <w:p>
            <w:pPr>
              <w:ind w:left="306" w:leftChars="100" w:right="306" w:rightChars="100"/>
              <w:rPr>
                <w:rFonts w:hint="eastAsia"/>
                <w:sz w:val="28"/>
                <w:szCs w:val="28"/>
                <w:lang w:eastAsia="zh-CN"/>
              </w:rPr>
            </w:pPr>
            <w:r>
              <w:rPr>
                <w:rFonts w:hint="eastAsia"/>
                <w:sz w:val="28"/>
                <w:szCs w:val="28"/>
              </w:rPr>
              <w:t>抄送：</w:t>
            </w:r>
            <w:r>
              <w:rPr>
                <w:rFonts w:hint="eastAsia"/>
                <w:sz w:val="28"/>
                <w:szCs w:val="28"/>
                <w:lang w:eastAsia="zh-CN"/>
              </w:rPr>
              <w:t>省文旅厅、文物局、广播电视局、新闻出版局、电影局。</w:t>
            </w:r>
          </w:p>
          <w:p>
            <w:pPr>
              <w:ind w:right="306" w:rightChars="100" w:firstLine="1104" w:firstLineChars="400"/>
              <w:rPr>
                <w:rFonts w:hint="eastAsia" w:eastAsia="仿宋_GB2312"/>
                <w:sz w:val="28"/>
                <w:szCs w:val="28"/>
                <w:lang w:val="en-US" w:eastAsia="zh-CN"/>
              </w:rPr>
            </w:pPr>
            <w:r>
              <w:rPr>
                <w:rFonts w:hint="eastAsia"/>
                <w:sz w:val="28"/>
                <w:szCs w:val="28"/>
                <w:lang w:eastAsia="zh-CN"/>
              </w:rPr>
              <w:t>市司法局</w:t>
            </w:r>
            <w:r>
              <w:rPr>
                <w:rFonts w:hint="eastAsia"/>
                <w:sz w:val="28"/>
                <w:szCs w:val="28"/>
                <w:lang w:val="en-US" w:eastAsia="zh-CN"/>
              </w:rPr>
              <w:t>。</w:t>
            </w:r>
          </w:p>
        </w:tc>
      </w:tr>
      <w:tr>
        <w:tblPrEx>
          <w:tblBorders>
            <w:top w:val="single" w:color="auto" w:sz="8" w:space="0"/>
            <w:left w:val="none" w:color="auto" w:sz="0" w:space="0"/>
            <w:bottom w:val="single" w:color="auto" w:sz="8" w:space="0"/>
            <w:right w:val="none" w:color="auto" w:sz="0" w:space="0"/>
            <w:insideH w:val="single" w:color="auto" w:sz="6" w:space="0"/>
            <w:insideV w:val="single" w:color="auto" w:sz="4" w:space="0"/>
          </w:tblBorders>
          <w:tblLayout w:type="fixed"/>
          <w:tblCellMar>
            <w:top w:w="0" w:type="dxa"/>
            <w:left w:w="0" w:type="dxa"/>
            <w:bottom w:w="0" w:type="dxa"/>
            <w:right w:w="0" w:type="dxa"/>
          </w:tblCellMar>
        </w:tblPrEx>
        <w:trPr>
          <w:trHeight w:val="578" w:hRule="exact"/>
        </w:trPr>
        <w:tc>
          <w:tcPr>
            <w:tcW w:w="8845" w:type="dxa"/>
            <w:noWrap w:val="0"/>
            <w:vAlign w:val="top"/>
          </w:tcPr>
          <w:p>
            <w:pPr>
              <w:ind w:left="306" w:leftChars="100" w:right="306" w:rightChars="100"/>
              <w:rPr>
                <w:sz w:val="28"/>
                <w:szCs w:val="28"/>
              </w:rPr>
            </w:pPr>
            <w:r>
              <w:rPr>
                <w:rFonts w:hint="eastAsia"/>
                <w:sz w:val="28"/>
                <w:szCs w:val="28"/>
              </w:rPr>
              <w:t xml:space="preserve">三明市文化和旅游局办公室       </w:t>
            </w:r>
            <w:r>
              <w:rPr>
                <w:sz w:val="28"/>
                <w:szCs w:val="28"/>
              </w:rPr>
              <w:t xml:space="preserve"> </w:t>
            </w:r>
            <w:r>
              <w:rPr>
                <w:rFonts w:hint="eastAsia"/>
                <w:sz w:val="28"/>
                <w:szCs w:val="28"/>
              </w:rPr>
              <w:t xml:space="preserve">         20</w:t>
            </w:r>
            <w:r>
              <w:rPr>
                <w:rFonts w:hint="eastAsia"/>
                <w:sz w:val="28"/>
                <w:szCs w:val="28"/>
                <w:lang w:val="en-US" w:eastAsia="zh-CN"/>
              </w:rPr>
              <w:t>22</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26</w:t>
            </w:r>
            <w:r>
              <w:rPr>
                <w:rFonts w:hint="eastAsia"/>
                <w:sz w:val="28"/>
                <w:szCs w:val="28"/>
              </w:rPr>
              <w:t>日印发</w:t>
            </w:r>
          </w:p>
        </w:tc>
      </w:tr>
    </w:tbl>
    <w:p/>
    <w:sectPr>
      <w:footerReference r:id="rId3" w:type="default"/>
      <w:footerReference r:id="rId4" w:type="even"/>
      <w:pgSz w:w="11906" w:h="16838"/>
      <w:pgMar w:top="2098" w:right="1588" w:bottom="1588" w:left="1588" w:header="851" w:footer="992"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Style w:val="10"/>
        <w:rFonts w:hint="eastAsia"/>
        <w:sz w:val="28"/>
        <w:szCs w:val="28"/>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3</w:t>
    </w:r>
    <w:r>
      <w:rPr>
        <w:sz w:val="28"/>
        <w:szCs w:val="28"/>
      </w:rPr>
      <w:fldChar w:fldCharType="end"/>
    </w:r>
    <w:r>
      <w:rPr>
        <w:rStyle w:val="10"/>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1"/>
    </w:pPr>
    <w:r>
      <w:rPr>
        <w:rStyle w:val="10"/>
        <w:rFonts w:hint="eastAsia"/>
        <w:sz w:val="28"/>
        <w:szCs w:val="28"/>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4</w:t>
    </w:r>
    <w:r>
      <w:rPr>
        <w:sz w:val="28"/>
        <w:szCs w:val="28"/>
      </w:rPr>
      <w:fldChar w:fldCharType="end"/>
    </w:r>
    <w:r>
      <w:rPr>
        <w:rStyle w:val="10"/>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3"/>
  <w:drawingGridVerticalSpacing w:val="29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64552"/>
    <w:rsid w:val="00084B20"/>
    <w:rsid w:val="00246632"/>
    <w:rsid w:val="00311BF2"/>
    <w:rsid w:val="00613F56"/>
    <w:rsid w:val="00691174"/>
    <w:rsid w:val="006A2B9D"/>
    <w:rsid w:val="00773E92"/>
    <w:rsid w:val="007D4D38"/>
    <w:rsid w:val="00910942"/>
    <w:rsid w:val="009234F0"/>
    <w:rsid w:val="00AA1D5D"/>
    <w:rsid w:val="00C75482"/>
    <w:rsid w:val="00D44B31"/>
    <w:rsid w:val="00D952BA"/>
    <w:rsid w:val="00DC0185"/>
    <w:rsid w:val="00DE3FC5"/>
    <w:rsid w:val="00DE77C7"/>
    <w:rsid w:val="00E07036"/>
    <w:rsid w:val="00E7489A"/>
    <w:rsid w:val="00F07237"/>
    <w:rsid w:val="00FC3DB5"/>
    <w:rsid w:val="00FE4618"/>
    <w:rsid w:val="05C83740"/>
    <w:rsid w:val="2D2A19DD"/>
    <w:rsid w:val="2EEE1946"/>
    <w:rsid w:val="302E1068"/>
    <w:rsid w:val="356F7DE4"/>
    <w:rsid w:val="3D303301"/>
    <w:rsid w:val="4C3B44F9"/>
    <w:rsid w:val="4D1A1259"/>
    <w:rsid w:val="601606D7"/>
    <w:rsid w:val="618239DE"/>
    <w:rsid w:val="69E86F37"/>
    <w:rsid w:val="762645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宋体" w:hAnsi="宋体" w:eastAsia="仿宋_GB2312" w:cs="宋体"/>
      <w:kern w:val="2"/>
      <w:sz w:val="31"/>
      <w:szCs w:val="31"/>
      <w:lang w:val="en-US" w:eastAsia="zh-CN" w:bidi="ar-SA"/>
    </w:rPr>
  </w:style>
  <w:style w:type="paragraph" w:styleId="2">
    <w:name w:val="heading 1"/>
    <w:basedOn w:val="1"/>
    <w:next w:val="1"/>
    <w:qFormat/>
    <w:uiPriority w:val="0"/>
    <w:pPr>
      <w:spacing w:line="700" w:lineRule="exact"/>
      <w:jc w:val="center"/>
      <w:outlineLvl w:val="0"/>
    </w:pPr>
    <w:rPr>
      <w:rFonts w:eastAsia="方正小标宋_GBK"/>
      <w:kern w:val="44"/>
      <w:sz w:val="40"/>
    </w:rPr>
  </w:style>
  <w:style w:type="paragraph" w:styleId="3">
    <w:name w:val="heading 2"/>
    <w:basedOn w:val="1"/>
    <w:next w:val="1"/>
    <w:qFormat/>
    <w:uiPriority w:val="0"/>
    <w:pPr>
      <w:ind w:firstLine="612" w:firstLineChars="200"/>
      <w:outlineLvl w:val="1"/>
    </w:pPr>
    <w:rPr>
      <w:rFonts w:eastAsia="黑体"/>
    </w:rPr>
  </w:style>
  <w:style w:type="paragraph" w:styleId="4">
    <w:name w:val="heading 3"/>
    <w:basedOn w:val="1"/>
    <w:next w:val="1"/>
    <w:qFormat/>
    <w:uiPriority w:val="0"/>
    <w:pPr>
      <w:ind w:firstLine="612" w:firstLineChars="200"/>
      <w:outlineLvl w:val="2"/>
    </w:pPr>
    <w:rPr>
      <w:rFonts w:eastAsia="楷体_GB2312"/>
      <w:b/>
      <w:szCs w:val="24"/>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12"/>
    <w:qFormat/>
    <w:uiPriority w:val="0"/>
    <w:rPr>
      <w:sz w:val="18"/>
      <w:szCs w:val="18"/>
    </w:rPr>
  </w:style>
  <w:style w:type="paragraph" w:styleId="6">
    <w:name w:val="footer"/>
    <w:basedOn w:val="1"/>
    <w:link w:val="1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页脚 字符1"/>
    <w:link w:val="6"/>
    <w:qFormat/>
    <w:uiPriority w:val="0"/>
    <w:rPr>
      <w:rFonts w:ascii="宋体" w:hAnsi="宋体" w:eastAsia="仿宋_GB2312" w:cs="宋体"/>
      <w:kern w:val="2"/>
      <w:sz w:val="18"/>
      <w:szCs w:val="18"/>
    </w:rPr>
  </w:style>
  <w:style w:type="character" w:customStyle="1" w:styleId="12">
    <w:name w:val="批注框文本 字符"/>
    <w:link w:val="5"/>
    <w:qFormat/>
    <w:uiPriority w:val="0"/>
    <w:rPr>
      <w:rFonts w:ascii="宋体" w:hAnsi="宋体" w:eastAsia="仿宋_GB2312" w:cs="宋体"/>
      <w:kern w:val="2"/>
      <w:sz w:val="18"/>
      <w:szCs w:val="18"/>
    </w:rPr>
  </w:style>
  <w:style w:type="character" w:customStyle="1" w:styleId="13">
    <w:name w:val="页脚 字符"/>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9977;&#26126;&#24066;&#25991;&#21270;&#21644;&#26053;&#28216;&#23616;&#21360;&#21457;&#25991;&#20214;&#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三明市文化和旅游局印发文件模板.dot</Template>
  <Pages>4</Pages>
  <Words>89</Words>
  <Characters>102</Characters>
  <Lines>1</Lines>
  <Paragraphs>1</Paragraphs>
  <TotalTime>0</TotalTime>
  <ScaleCrop>false</ScaleCrop>
  <LinksUpToDate>false</LinksUpToDate>
  <CharactersWithSpaces>125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2022-01-29T02:20:00Z</dcterms:created>
  <dc:creator>MASK</dc:creator>
  <cp:lastModifiedBy>MASK</cp:lastModifiedBy>
  <dcterms:modified xsi:type="dcterms:W3CDTF">2022-02-10T02:52:06Z</dcterms:modified>
  <dc:title>明旅发〔2018〕号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